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452"/>
        <w:bidiVisual/>
        <w:tblW w:w="10915" w:type="dxa"/>
        <w:tblLayout w:type="fixed"/>
        <w:tblLook w:val="04A0"/>
      </w:tblPr>
      <w:tblGrid>
        <w:gridCol w:w="1984"/>
        <w:gridCol w:w="567"/>
        <w:gridCol w:w="2127"/>
        <w:gridCol w:w="283"/>
        <w:gridCol w:w="2977"/>
        <w:gridCol w:w="567"/>
        <w:gridCol w:w="2410"/>
      </w:tblGrid>
      <w:tr w:rsidR="00320C8A" w:rsidTr="000B7403">
        <w:trPr>
          <w:trHeight w:val="394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20C8A" w:rsidRPr="00922653" w:rsidRDefault="00320C8A" w:rsidP="000B7403">
            <w:pPr>
              <w:tabs>
                <w:tab w:val="center" w:pos="1319"/>
              </w:tabs>
              <w:rPr>
                <w:rtl/>
              </w:rPr>
            </w:pPr>
            <w:r>
              <w:rPr>
                <w:rFonts w:cs="Arial"/>
                <w:noProof/>
                <w:rtl/>
                <w:lang w:bidi="ar-SA"/>
              </w:rPr>
              <w:drawing>
                <wp:inline distT="0" distB="0" distL="0" distR="0">
                  <wp:extent cx="1129650" cy="1009650"/>
                  <wp:effectExtent l="19050" t="0" r="0" b="0"/>
                  <wp:docPr id="4" name="Picture 1" descr="C:\Users\Karimian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imian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778" cy="10124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0B7403">
            <w:pPr>
              <w:tabs>
                <w:tab w:val="center" w:pos="1311"/>
                <w:tab w:val="right" w:pos="2181"/>
              </w:tabs>
              <w:spacing w:line="276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</w:rPr>
              <w:t xml:space="preserve">فرم  درس آموزی رویدادهای </w:t>
            </w:r>
            <w:r w:rsidRPr="00B439C6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  <w:t>HSEE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hideMark/>
          </w:tcPr>
          <w:p w:rsidR="00320C8A" w:rsidRPr="00AE4941" w:rsidRDefault="00320C8A" w:rsidP="009A7B92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 w:hint="cs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کد: </w:t>
            </w:r>
            <w:r w:rsidR="009A7B92">
              <w:rPr>
                <w:rFonts w:ascii="Times New Roman" w:hAnsi="Times New Roman" w:cs="B Titr" w:hint="cs"/>
                <w:sz w:val="16"/>
                <w:szCs w:val="18"/>
                <w:rtl/>
              </w:rPr>
              <w:t>7-8-95</w:t>
            </w:r>
          </w:p>
          <w:p w:rsidR="00320C8A" w:rsidRPr="009A7B92" w:rsidRDefault="00320C8A" w:rsidP="009A7B92">
            <w:pPr>
              <w:tabs>
                <w:tab w:val="center" w:pos="1311"/>
                <w:tab w:val="right" w:pos="2181"/>
              </w:tabs>
              <w:spacing w:line="360" w:lineRule="auto"/>
              <w:rPr>
                <w:rFonts w:ascii="Times New Roman" w:hAnsi="Times New Roman" w:cs="B Titr"/>
                <w:sz w:val="16"/>
                <w:szCs w:val="18"/>
                <w:rtl/>
              </w:rPr>
            </w:pPr>
            <w:r w:rsidRPr="00AE4941">
              <w:rPr>
                <w:rFonts w:ascii="Times New Roman" w:hAnsi="Times New Roman" w:cs="B Titr" w:hint="cs"/>
                <w:sz w:val="16"/>
                <w:szCs w:val="18"/>
                <w:rtl/>
              </w:rPr>
              <w:t>تاریخ انتشار:</w:t>
            </w:r>
            <w:r w:rsidR="0058408A">
              <w:rPr>
                <w:rFonts w:ascii="Times New Roman" w:hAnsi="Times New Roman" w:cs="B Titr" w:hint="cs"/>
                <w:sz w:val="16"/>
                <w:szCs w:val="18"/>
                <w:rtl/>
              </w:rPr>
              <w:t>12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>/0</w:t>
            </w:r>
            <w:r w:rsidR="0058408A">
              <w:rPr>
                <w:rFonts w:ascii="Times New Roman" w:hAnsi="Times New Roman" w:cs="B Titr" w:hint="cs"/>
                <w:sz w:val="16"/>
                <w:szCs w:val="18"/>
                <w:rtl/>
              </w:rPr>
              <w:t>7</w:t>
            </w:r>
            <w:r>
              <w:rPr>
                <w:rFonts w:ascii="Times New Roman" w:hAnsi="Times New Roman" w:cs="B Titr" w:hint="cs"/>
                <w:sz w:val="16"/>
                <w:szCs w:val="18"/>
                <w:rtl/>
              </w:rPr>
              <w:t>/1395</w:t>
            </w:r>
          </w:p>
        </w:tc>
      </w:tr>
      <w:tr w:rsidR="00320C8A" w:rsidTr="00D274D0">
        <w:trPr>
          <w:trHeight w:val="287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20C8A" w:rsidRDefault="00320C8A" w:rsidP="000B7403">
            <w:pPr>
              <w:bidi w:val="0"/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0B7403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رویدادهای ناگوار </w:t>
            </w:r>
            <w:r>
              <w:rPr>
                <w:rFonts w:hint="cs"/>
              </w:rPr>
              <w:sym w:font="Wingdings 2" w:char="F0A2"/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0B7403">
            <w:pPr>
              <w:tabs>
                <w:tab w:val="center" w:pos="1311"/>
                <w:tab w:val="right" w:pos="2181"/>
              </w:tabs>
              <w:rPr>
                <w:rFonts w:ascii="Times New Roman" w:hAnsi="Times New Roman" w:cs="B Titr"/>
                <w:sz w:val="16"/>
                <w:szCs w:val="18"/>
              </w:rPr>
            </w:pPr>
            <w:r w:rsidRPr="00EC00CE">
              <w:rPr>
                <w:rFonts w:ascii="Times New Roman" w:hAnsi="Times New Roman" w:cs="B Titr" w:hint="cs"/>
                <w:sz w:val="16"/>
                <w:szCs w:val="18"/>
                <w:rtl/>
              </w:rPr>
              <w:t xml:space="preserve">رویدادها و تجربیات  موفق </w:t>
            </w:r>
            <w:r w:rsidRPr="00B279EC">
              <w:rPr>
                <w:rFonts w:cs="B Mitra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320C8A" w:rsidRDefault="00320C8A" w:rsidP="000B7403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320C8A" w:rsidTr="000B7403">
        <w:trPr>
          <w:trHeight w:val="518"/>
        </w:trPr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20C8A" w:rsidRDefault="00320C8A" w:rsidP="000B7403">
            <w:pPr>
              <w:bidi w:val="0"/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320C8A" w:rsidRPr="00EC00CE" w:rsidRDefault="00320C8A" w:rsidP="0058408A">
            <w:pPr>
              <w:tabs>
                <w:tab w:val="center" w:pos="1311"/>
                <w:tab w:val="right" w:pos="2181"/>
              </w:tabs>
              <w:rPr>
                <w:rFonts w:cs="B Titr"/>
                <w:b/>
                <w:bCs/>
                <w:color w:val="002060"/>
                <w:sz w:val="16"/>
                <w:szCs w:val="18"/>
              </w:rPr>
            </w:pPr>
            <w:r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عنوان درس آموزی : </w:t>
            </w:r>
            <w:r w:rsidR="0058408A"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>آتش سوزي در انبار كارخانه توليد مبلمان</w:t>
            </w:r>
            <w:r>
              <w:rPr>
                <w:rFonts w:cs="B Titr" w:hint="cs"/>
                <w:b/>
                <w:bCs/>
                <w:color w:val="002060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hideMark/>
          </w:tcPr>
          <w:p w:rsidR="00320C8A" w:rsidRDefault="00320C8A" w:rsidP="000B7403">
            <w:pPr>
              <w:bidi w:val="0"/>
              <w:rPr>
                <w:rFonts w:ascii="Times New Roman" w:hAnsi="Times New Roman" w:cs="B Titr"/>
                <w:sz w:val="20"/>
              </w:rPr>
            </w:pPr>
          </w:p>
        </w:tc>
      </w:tr>
      <w:tr w:rsidR="00320C8A" w:rsidTr="00D274D0">
        <w:trPr>
          <w:trHeight w:val="20"/>
        </w:trPr>
        <w:tc>
          <w:tcPr>
            <w:tcW w:w="496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20C8A" w:rsidRPr="00EC00CE" w:rsidRDefault="00320C8A" w:rsidP="000B740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EC00CE">
              <w:rPr>
                <w:rFonts w:cs="B Titr" w:hint="cs"/>
                <w:b/>
                <w:bCs/>
                <w:sz w:val="18"/>
                <w:szCs w:val="18"/>
                <w:rtl/>
              </w:rPr>
              <w:t>تشریح رویداد</w:t>
            </w:r>
          </w:p>
        </w:tc>
        <w:tc>
          <w:tcPr>
            <w:tcW w:w="59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20C8A" w:rsidRDefault="00D274D0" w:rsidP="000B7403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noProof/>
                <w:rtl/>
                <w:lang w:bidi="ar-SA"/>
              </w:rPr>
              <w:drawing>
                <wp:inline distT="0" distB="0" distL="0" distR="0">
                  <wp:extent cx="3448050" cy="2939177"/>
                  <wp:effectExtent l="19050" t="0" r="0" b="0"/>
                  <wp:docPr id="6" name="Picture 3" descr="E:\كريميان\ايمني و بهداشت\فرمهاي گزارش حادثه\شمس آباد- مبل ماندگار\آتش سوزي-مبل ماندگار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كريميان\ايمني و بهداشت\فرمهاي گزارش حادثه\شمس آباد- مبل ماندگار\آتش سوزي-مبل ماندگار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150" cy="294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C8A" w:rsidTr="0006392E">
        <w:trPr>
          <w:trHeight w:val="4248"/>
        </w:trPr>
        <w:tc>
          <w:tcPr>
            <w:tcW w:w="4961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320C8A" w:rsidRDefault="0058408A" w:rsidP="007E42C1">
            <w:pPr>
              <w:rPr>
                <w:rFonts w:cs="B Nazanin"/>
                <w:b/>
                <w:bCs/>
                <w:sz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rtl/>
              </w:rPr>
              <w:t xml:space="preserve">ساعت 18:20 در </w:t>
            </w:r>
            <w:r w:rsidR="009F041C">
              <w:rPr>
                <w:rFonts w:cs="B Nazanin" w:hint="cs"/>
                <w:b/>
                <w:bCs/>
                <w:sz w:val="20"/>
                <w:rtl/>
              </w:rPr>
              <w:t xml:space="preserve">انبار يك </w:t>
            </w:r>
            <w:r>
              <w:rPr>
                <w:rFonts w:cs="B Nazanin" w:hint="cs"/>
                <w:b/>
                <w:bCs/>
                <w:sz w:val="20"/>
                <w:rtl/>
              </w:rPr>
              <w:t xml:space="preserve">كارخانه توليد مبلمان اتصالي تابلو برق  موجب ايجاد حريق گرديد. نگهبان با كپسول هاي موجود </w:t>
            </w:r>
            <w:r w:rsidR="009F041C">
              <w:rPr>
                <w:rFonts w:cs="B Nazanin" w:hint="cs"/>
                <w:b/>
                <w:bCs/>
                <w:sz w:val="20"/>
                <w:rtl/>
              </w:rPr>
              <w:t>شروع به</w:t>
            </w:r>
            <w:r w:rsidR="00182E0B">
              <w:rPr>
                <w:rFonts w:cs="B Nazanin" w:hint="cs"/>
                <w:b/>
                <w:bCs/>
                <w:sz w:val="20"/>
                <w:rtl/>
              </w:rPr>
              <w:t xml:space="preserve"> اطفاء حريق مي كند </w:t>
            </w:r>
            <w:r>
              <w:rPr>
                <w:rFonts w:cs="B Nazanin" w:hint="cs"/>
                <w:b/>
                <w:bCs/>
                <w:sz w:val="20"/>
                <w:rtl/>
              </w:rPr>
              <w:t xml:space="preserve"> ولي حريق از طريق كابل متصل به تابلو برق به فوم هاي موجود در انبار مي رسد </w:t>
            </w:r>
            <w:r w:rsidR="00AF046E">
              <w:rPr>
                <w:rFonts w:cs="B Nazanin" w:hint="cs"/>
                <w:b/>
                <w:bCs/>
                <w:sz w:val="20"/>
                <w:rtl/>
              </w:rPr>
              <w:t xml:space="preserve">. </w:t>
            </w:r>
            <w:r w:rsidR="00875081">
              <w:rPr>
                <w:rFonts w:cs="B Nazanin" w:hint="cs"/>
                <w:b/>
                <w:bCs/>
                <w:sz w:val="20"/>
                <w:rtl/>
              </w:rPr>
              <w:t xml:space="preserve">پس از تماس با آتشنشاني </w:t>
            </w:r>
            <w:r>
              <w:rPr>
                <w:rFonts w:cs="B Nazanin" w:hint="cs"/>
                <w:b/>
                <w:bCs/>
                <w:sz w:val="20"/>
                <w:rtl/>
              </w:rPr>
              <w:t>با توجه به اينكه دروازه ورودي واحد قفل بوده و كليد در دسترس نبود</w:t>
            </w:r>
            <w:r w:rsidR="00881FB3">
              <w:rPr>
                <w:rFonts w:cs="B Nazanin" w:hint="cs"/>
                <w:b/>
                <w:bCs/>
                <w:sz w:val="20"/>
                <w:rtl/>
              </w:rPr>
              <w:t>(</w:t>
            </w:r>
            <w:r>
              <w:rPr>
                <w:rFonts w:cs="B Nazanin" w:hint="cs"/>
                <w:b/>
                <w:bCs/>
                <w:sz w:val="20"/>
                <w:rtl/>
              </w:rPr>
              <w:t xml:space="preserve"> قفل با پتك شكسته شد</w:t>
            </w:r>
            <w:r w:rsidR="00881FB3">
              <w:rPr>
                <w:rFonts w:cs="B Nazanin" w:hint="cs"/>
                <w:b/>
                <w:bCs/>
                <w:sz w:val="20"/>
                <w:rtl/>
              </w:rPr>
              <w:t>)</w:t>
            </w:r>
            <w:r>
              <w:rPr>
                <w:rFonts w:cs="B Nazanin" w:hint="cs"/>
                <w:b/>
                <w:bCs/>
                <w:sz w:val="20"/>
                <w:rtl/>
              </w:rPr>
              <w:t xml:space="preserve"> و به علت اشتعال زا بودن مواد موجود در انبار ( حلال ها،‌ رنگ،‌تينر،‌ فوم،‌ ابر، كارتن و ...) و عدم رعايت اصول چيدمان و ازدحام و فشردگي مواد</w:t>
            </w:r>
            <w:r w:rsidR="00881FB3">
              <w:rPr>
                <w:rFonts w:cs="B Nazanin" w:hint="cs"/>
                <w:b/>
                <w:bCs/>
                <w:sz w:val="20"/>
                <w:rtl/>
              </w:rPr>
              <w:t xml:space="preserve"> موجود</w:t>
            </w:r>
            <w:r>
              <w:rPr>
                <w:rFonts w:cs="B Nazanin" w:hint="cs"/>
                <w:b/>
                <w:bCs/>
                <w:sz w:val="20"/>
                <w:rtl/>
              </w:rPr>
              <w:t xml:space="preserve"> مأمورين با حريقي گسترده مواجه شدند. عمليات اطفا پس از 20 ساعت با تلاش مأموران آتشنشاني به اتمام رسيد</w:t>
            </w:r>
            <w:r w:rsidR="00F22A86">
              <w:rPr>
                <w:rFonts w:cs="B Nazanin" w:hint="cs"/>
                <w:b/>
                <w:bCs/>
                <w:sz w:val="20"/>
                <w:rtl/>
              </w:rPr>
              <w:t>.</w:t>
            </w:r>
          </w:p>
          <w:p w:rsidR="00F22A86" w:rsidRPr="00F22A86" w:rsidRDefault="00F22A86" w:rsidP="007E42C1">
            <w:pPr>
              <w:rPr>
                <w:rFonts w:cs="B Nazanin"/>
                <w:b/>
                <w:bCs/>
                <w:sz w:val="28"/>
                <w:szCs w:val="28"/>
              </w:rPr>
            </w:pPr>
            <w:r w:rsidRPr="00F22A86">
              <w:rPr>
                <w:rFonts w:cs="B Nazanin" w:hint="cs"/>
                <w:b/>
                <w:bCs/>
                <w:sz w:val="28"/>
                <w:szCs w:val="28"/>
                <w:rtl/>
              </w:rPr>
              <w:t>هزينه مستقيم برآورد شده ناشي از حادثه: 12،000،000،000 ريال</w:t>
            </w:r>
          </w:p>
        </w:tc>
        <w:tc>
          <w:tcPr>
            <w:tcW w:w="59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20C8A" w:rsidRDefault="00320C8A" w:rsidP="000B7403">
            <w:pPr>
              <w:rPr>
                <w:rFonts w:cs="B Titr"/>
                <w:b/>
                <w:bCs/>
              </w:rPr>
            </w:pPr>
          </w:p>
        </w:tc>
      </w:tr>
      <w:tr w:rsidR="00320C8A" w:rsidTr="000B7403">
        <w:trPr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20C8A" w:rsidRPr="00BF6871" w:rsidRDefault="00320C8A" w:rsidP="000B740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>درخت آنالیز علت - پیامد</w:t>
            </w:r>
          </w:p>
        </w:tc>
      </w:tr>
      <w:tr w:rsidR="00320C8A" w:rsidTr="00423227">
        <w:trPr>
          <w:cantSplit/>
          <w:trHeight w:val="330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:rsidR="00320C8A" w:rsidRPr="00BF6871" w:rsidRDefault="00320C8A" w:rsidP="000B7403">
            <w:pPr>
              <w:jc w:val="center"/>
              <w:rPr>
                <w:rFonts w:cs="B Titr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 xml:space="preserve">پیامد های رویداد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textDirection w:val="btLr"/>
          </w:tcPr>
          <w:p w:rsidR="00320C8A" w:rsidRPr="00EC00CE" w:rsidRDefault="00320C8A" w:rsidP="000B7403">
            <w:pPr>
              <w:bidi w:val="0"/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تجزیه و تحلیل عوامل بروز رویداد</w:t>
            </w: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bidi w:val="0"/>
              <w:ind w:left="113" w:right="113"/>
              <w:rPr>
                <w:rFonts w:cs="B Titr"/>
              </w:rPr>
            </w:pPr>
          </w:p>
          <w:p w:rsidR="00320C8A" w:rsidRPr="00BF6871" w:rsidRDefault="00320C8A" w:rsidP="000B7403">
            <w:pPr>
              <w:ind w:left="113" w:right="113"/>
              <w:rPr>
                <w:rFonts w:cs="B Titr"/>
                <w:rtl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20C8A" w:rsidRPr="009A1324" w:rsidRDefault="00320C8A" w:rsidP="000B7403">
            <w:pPr>
              <w:rPr>
                <w:rFonts w:cs="B Titr"/>
                <w:color w:val="FFFF00"/>
                <w:sz w:val="18"/>
                <w:szCs w:val="18"/>
                <w:rtl/>
              </w:rPr>
            </w:pPr>
            <w:r w:rsidRPr="009A1324">
              <w:rPr>
                <w:rFonts w:cs="B Titr" w:hint="cs"/>
                <w:color w:val="FFFF00"/>
                <w:sz w:val="18"/>
                <w:szCs w:val="18"/>
                <w:rtl/>
              </w:rPr>
              <w:t>علت اولیه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20C8A" w:rsidRPr="009A1324" w:rsidRDefault="00320C8A" w:rsidP="000B7403">
            <w:pPr>
              <w:bidi w:val="0"/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میانی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:rsidR="00320C8A" w:rsidRPr="009A1324" w:rsidRDefault="00320C8A" w:rsidP="000B7403">
            <w:pPr>
              <w:jc w:val="center"/>
              <w:rPr>
                <w:rFonts w:cs="B Titr"/>
                <w:b/>
                <w:bCs/>
                <w:color w:val="FFFF00"/>
                <w:sz w:val="18"/>
                <w:szCs w:val="18"/>
              </w:rPr>
            </w:pPr>
            <w:r w:rsidRPr="009A1324">
              <w:rPr>
                <w:rFonts w:cs="B Titr" w:hint="cs"/>
                <w:b/>
                <w:bCs/>
                <w:color w:val="FFFF00"/>
                <w:sz w:val="18"/>
                <w:szCs w:val="18"/>
                <w:rtl/>
              </w:rPr>
              <w:t>علل ریشه ای</w:t>
            </w:r>
          </w:p>
        </w:tc>
      </w:tr>
      <w:tr w:rsidR="00320C8A" w:rsidTr="00423227">
        <w:trPr>
          <w:cantSplit/>
          <w:trHeight w:val="993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20C8A" w:rsidRPr="00EC00CE" w:rsidRDefault="00320C8A" w:rsidP="000B7403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انسانی :</w:t>
            </w:r>
          </w:p>
          <w:p w:rsidR="00320C8A" w:rsidRDefault="00320C8A" w:rsidP="000B7403">
            <w:pPr>
              <w:rPr>
                <w:rFonts w:cs="B Nazanin"/>
                <w:sz w:val="24"/>
                <w:szCs w:val="24"/>
                <w:rtl/>
              </w:rPr>
            </w:pPr>
          </w:p>
          <w:p w:rsidR="00320C8A" w:rsidRPr="003C2B61" w:rsidRDefault="0048695F" w:rsidP="000B7403">
            <w:pPr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320C8A" w:rsidRDefault="00320C8A" w:rsidP="000B7403">
            <w:pPr>
              <w:bidi w:val="0"/>
              <w:rPr>
                <w:rFonts w:cs="B Titr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320C8A" w:rsidRPr="00DE3316" w:rsidRDefault="008A7F3D" w:rsidP="000B740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اتصال تابلو برق</w:t>
            </w:r>
          </w:p>
        </w:tc>
        <w:tc>
          <w:tcPr>
            <w:tcW w:w="32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D05EF4" w:rsidRPr="00456C9B" w:rsidRDefault="00D05EF4" w:rsidP="00D05EF4">
            <w:pPr>
              <w:rPr>
                <w:rFonts w:cs="B Nazanin"/>
                <w:sz w:val="24"/>
                <w:szCs w:val="24"/>
                <w:rtl/>
              </w:rPr>
            </w:pPr>
            <w:r w:rsidRPr="00456C9B">
              <w:rPr>
                <w:rFonts w:cs="B Nazanin" w:hint="cs"/>
                <w:sz w:val="24"/>
                <w:szCs w:val="24"/>
                <w:rtl/>
              </w:rPr>
              <w:t xml:space="preserve">-عدم تعبيه سيستم اعلام </w:t>
            </w:r>
            <w:r w:rsidR="00AF7604" w:rsidRPr="00456C9B">
              <w:rPr>
                <w:rFonts w:cs="B Nazanin" w:hint="cs"/>
                <w:sz w:val="24"/>
                <w:szCs w:val="24"/>
                <w:rtl/>
              </w:rPr>
              <w:t>و اطفاء‌ حريق اتوماتيك</w:t>
            </w:r>
          </w:p>
          <w:p w:rsidR="00D05EF4" w:rsidRPr="00456C9B" w:rsidRDefault="00D05EF4" w:rsidP="00D05EF4">
            <w:pPr>
              <w:rPr>
                <w:rFonts w:cs="B Nazanin"/>
                <w:sz w:val="24"/>
                <w:szCs w:val="24"/>
                <w:rtl/>
              </w:rPr>
            </w:pPr>
            <w:r w:rsidRPr="00456C9B">
              <w:rPr>
                <w:rFonts w:cs="B Nazanin" w:hint="cs"/>
                <w:sz w:val="24"/>
                <w:szCs w:val="24"/>
                <w:rtl/>
              </w:rPr>
              <w:t>-عدم تعبيه سيستم فاير باكس</w:t>
            </w:r>
          </w:p>
          <w:p w:rsidR="00D05EF4" w:rsidRPr="00456C9B" w:rsidRDefault="00D05EF4" w:rsidP="00D05EF4">
            <w:pPr>
              <w:rPr>
                <w:rFonts w:cs="B Nazanin"/>
                <w:sz w:val="24"/>
                <w:szCs w:val="24"/>
                <w:rtl/>
              </w:rPr>
            </w:pPr>
            <w:r w:rsidRPr="00456C9B">
              <w:rPr>
                <w:rFonts w:cs="B Nazanin" w:hint="cs"/>
                <w:sz w:val="24"/>
                <w:szCs w:val="24"/>
                <w:rtl/>
              </w:rPr>
              <w:t xml:space="preserve">-چيدمان غير اصولي و نامناسب انبار </w:t>
            </w:r>
          </w:p>
          <w:p w:rsidR="00D05EF4" w:rsidRPr="00456C9B" w:rsidRDefault="00D05EF4" w:rsidP="00D05EF4">
            <w:pPr>
              <w:rPr>
                <w:rFonts w:cs="B Nazanin"/>
                <w:sz w:val="24"/>
                <w:szCs w:val="24"/>
                <w:rtl/>
              </w:rPr>
            </w:pPr>
            <w:r w:rsidRPr="00456C9B">
              <w:rPr>
                <w:rFonts w:cs="B Nazanin" w:hint="cs"/>
                <w:sz w:val="24"/>
                <w:szCs w:val="24"/>
                <w:rtl/>
              </w:rPr>
              <w:t>-تراكم بيش از حد مواد اوليه قابل اشتعال درون انبار</w:t>
            </w:r>
          </w:p>
          <w:p w:rsidR="00AF7604" w:rsidRPr="00456C9B" w:rsidRDefault="00D05EF4" w:rsidP="00AF7604">
            <w:pPr>
              <w:rPr>
                <w:rFonts w:cs="B Nazanin"/>
                <w:sz w:val="24"/>
                <w:szCs w:val="24"/>
                <w:rtl/>
              </w:rPr>
            </w:pPr>
            <w:r w:rsidRPr="00456C9B">
              <w:rPr>
                <w:rFonts w:cs="B Nazanin" w:hint="cs"/>
                <w:sz w:val="24"/>
                <w:szCs w:val="24"/>
                <w:rtl/>
              </w:rPr>
              <w:t xml:space="preserve">-تعداد كم كپسول هاي موجود با توجه به حجم بالاي مواد اوليه </w:t>
            </w:r>
          </w:p>
          <w:p w:rsidR="00320C8A" w:rsidRPr="0006392E" w:rsidRDefault="00AF7604" w:rsidP="0006392E">
            <w:pPr>
              <w:rPr>
                <w:rFonts w:cs="B Nazanin"/>
                <w:b/>
                <w:bCs/>
                <w:sz w:val="20"/>
                <w:rtl/>
              </w:rPr>
            </w:pPr>
            <w:r w:rsidRPr="00456C9B">
              <w:rPr>
                <w:rFonts w:cs="B Nazanin" w:hint="cs"/>
                <w:sz w:val="24"/>
                <w:szCs w:val="24"/>
                <w:rtl/>
              </w:rPr>
              <w:t>-عدم رعايت اصول ايمني برق و تجهيزات الكتريكي و بازرسي هاي دوره اي</w:t>
            </w:r>
          </w:p>
        </w:tc>
        <w:tc>
          <w:tcPr>
            <w:tcW w:w="2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20C8A" w:rsidRDefault="00320C8A" w:rsidP="00EF539A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</w:rPr>
            </w:pPr>
            <w:r w:rsidRPr="00E63930">
              <w:rPr>
                <w:rFonts w:cs="B Nazanin" w:hint="cs"/>
                <w:sz w:val="24"/>
                <w:szCs w:val="24"/>
                <w:rtl/>
              </w:rPr>
              <w:t>عدم تعهد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توجه</w:t>
            </w:r>
            <w:r w:rsidRPr="00E63930">
              <w:rPr>
                <w:rFonts w:cs="B Nazanin" w:hint="cs"/>
                <w:sz w:val="24"/>
                <w:szCs w:val="24"/>
                <w:rtl/>
              </w:rPr>
              <w:t xml:space="preserve"> مدیریت شرکت </w:t>
            </w:r>
            <w:r w:rsidR="00EF539A">
              <w:rPr>
                <w:rFonts w:cs="B Nazanin" w:hint="cs"/>
                <w:sz w:val="24"/>
                <w:szCs w:val="24"/>
                <w:rtl/>
              </w:rPr>
              <w:t xml:space="preserve">به استقرار سيستم مديريت </w:t>
            </w:r>
            <w:r w:rsidR="00EF539A">
              <w:rPr>
                <w:rFonts w:cs="B Nazanin"/>
                <w:sz w:val="24"/>
                <w:szCs w:val="24"/>
              </w:rPr>
              <w:t>HSEE</w:t>
            </w:r>
          </w:p>
          <w:p w:rsidR="00EF539A" w:rsidRDefault="00EF539A" w:rsidP="00EF539A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عدم تدوين برنامه واكنش در شرايط اضطراري و انجام مانور هاي دوره اي</w:t>
            </w:r>
          </w:p>
          <w:p w:rsidR="00EF539A" w:rsidRDefault="00EF539A" w:rsidP="00EF539A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عدم انجام ارزيابي ريسك و شناسايي كانون هاي خطر</w:t>
            </w:r>
          </w:p>
          <w:p w:rsidR="00EF539A" w:rsidRPr="00E63930" w:rsidRDefault="00EF539A" w:rsidP="00EF539A">
            <w:pPr>
              <w:pStyle w:val="ListParagraph"/>
              <w:numPr>
                <w:ilvl w:val="0"/>
                <w:numId w:val="2"/>
              </w:numPr>
              <w:ind w:left="219" w:hanging="219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استيجاري بودن انبار و عدم تعبيه سيستم هاي اعلام و اطفاء‌ حريق مناسب </w:t>
            </w:r>
          </w:p>
          <w:p w:rsidR="00320C8A" w:rsidRPr="00380712" w:rsidRDefault="00320C8A" w:rsidP="00652604">
            <w:pPr>
              <w:pStyle w:val="ListParagraph"/>
              <w:ind w:left="219"/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20C8A" w:rsidTr="00423227">
        <w:trPr>
          <w:cantSplit/>
          <w:trHeight w:val="912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20C8A" w:rsidRDefault="00320C8A" w:rsidP="000B7403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زیست محیطی:</w:t>
            </w:r>
          </w:p>
          <w:p w:rsidR="00320C8A" w:rsidRPr="003C2B61" w:rsidRDefault="00320C8A" w:rsidP="000B7403">
            <w:pPr>
              <w:rPr>
                <w:rFonts w:cs="B Titr"/>
                <w:sz w:val="6"/>
                <w:szCs w:val="6"/>
                <w:rtl/>
              </w:rPr>
            </w:pPr>
          </w:p>
          <w:p w:rsidR="00320C8A" w:rsidRPr="00F7642C" w:rsidRDefault="0048695F" w:rsidP="000B740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7642C">
              <w:rPr>
                <w:rFonts w:cs="B Nazanin" w:hint="cs"/>
                <w:sz w:val="24"/>
                <w:szCs w:val="24"/>
                <w:rtl/>
              </w:rPr>
              <w:t>انتشار دود غليظ و آلودگي هوا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:rsidR="00320C8A" w:rsidRDefault="00320C8A" w:rsidP="000B7403">
            <w:pPr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320C8A" w:rsidRPr="009E1D0A" w:rsidRDefault="00320C8A" w:rsidP="00320C8A">
            <w:pPr>
              <w:pStyle w:val="ListParagraph"/>
              <w:numPr>
                <w:ilvl w:val="0"/>
                <w:numId w:val="1"/>
              </w:num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97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20C8A" w:rsidRDefault="00320C8A" w:rsidP="00320C8A">
            <w:pPr>
              <w:pStyle w:val="ListParagraph"/>
              <w:numPr>
                <w:ilvl w:val="0"/>
                <w:numId w:val="1"/>
              </w:numPr>
              <w:rPr>
                <w:rFonts w:cs="B Titr"/>
                <w:rtl/>
              </w:rPr>
            </w:pPr>
          </w:p>
        </w:tc>
      </w:tr>
      <w:tr w:rsidR="00320C8A" w:rsidTr="00423227">
        <w:trPr>
          <w:cantSplit/>
          <w:trHeight w:val="1093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20C8A" w:rsidRDefault="00320C8A" w:rsidP="000B7403">
            <w:pPr>
              <w:rPr>
                <w:rFonts w:cs="B Titr"/>
                <w:sz w:val="18"/>
                <w:szCs w:val="18"/>
                <w:rtl/>
              </w:rPr>
            </w:pPr>
            <w:r w:rsidRPr="00EC00CE">
              <w:rPr>
                <w:rFonts w:cs="B Titr" w:hint="cs"/>
                <w:sz w:val="18"/>
                <w:szCs w:val="18"/>
                <w:rtl/>
              </w:rPr>
              <w:t>محصول و تجهیزات :</w:t>
            </w:r>
          </w:p>
          <w:p w:rsidR="00320C8A" w:rsidRPr="00FE30F7" w:rsidRDefault="00320C8A" w:rsidP="000B7403">
            <w:pPr>
              <w:rPr>
                <w:rFonts w:cs="B Titr"/>
                <w:sz w:val="6"/>
                <w:szCs w:val="6"/>
                <w:rtl/>
              </w:rPr>
            </w:pPr>
          </w:p>
          <w:p w:rsidR="00320C8A" w:rsidRPr="003C2B61" w:rsidRDefault="00320C8A" w:rsidP="000B7403">
            <w:pPr>
              <w:rPr>
                <w:rFonts w:cs="B Nazanin"/>
                <w:sz w:val="2"/>
                <w:szCs w:val="2"/>
                <w:rtl/>
              </w:rPr>
            </w:pPr>
          </w:p>
          <w:p w:rsidR="00320C8A" w:rsidRPr="00225E48" w:rsidRDefault="00AB46FE" w:rsidP="008C70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بين رفتن كليه مواد اوليه موجود و تخريب كامل سوله انبار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320C8A" w:rsidRDefault="00320C8A" w:rsidP="000B7403">
            <w:pPr>
              <w:rPr>
                <w:rFonts w:cs="B Titr"/>
                <w:rtl/>
              </w:rPr>
            </w:pPr>
          </w:p>
        </w:tc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32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  <w:tc>
          <w:tcPr>
            <w:tcW w:w="297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20C8A" w:rsidRDefault="00320C8A" w:rsidP="000B7403">
            <w:pPr>
              <w:bidi w:val="0"/>
              <w:rPr>
                <w:rFonts w:cs="B Titr"/>
                <w:rtl/>
              </w:rPr>
            </w:pPr>
          </w:p>
        </w:tc>
      </w:tr>
      <w:tr w:rsidR="00320C8A" w:rsidTr="00423227">
        <w:trPr>
          <w:cantSplit/>
          <w:trHeight w:val="137"/>
        </w:trPr>
        <w:tc>
          <w:tcPr>
            <w:tcW w:w="467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20C8A" w:rsidRPr="00EC00CE" w:rsidRDefault="00320C8A" w:rsidP="000B740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ascii="Times New Roman" w:hAnsi="Times New Roman" w:cs="B Titr" w:hint="cs"/>
                <w:sz w:val="20"/>
                <w:szCs w:val="20"/>
                <w:rtl/>
              </w:rPr>
              <w:t>راهکارهای فنی پیشنهادی</w:t>
            </w:r>
          </w:p>
        </w:tc>
        <w:tc>
          <w:tcPr>
            <w:tcW w:w="623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320C8A" w:rsidRPr="00EC00CE" w:rsidRDefault="00320C8A" w:rsidP="000B7403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EC00CE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درس آموخته  و پیام های کلیدی </w:t>
            </w:r>
          </w:p>
        </w:tc>
      </w:tr>
      <w:tr w:rsidR="00320C8A" w:rsidTr="00423227">
        <w:trPr>
          <w:cantSplit/>
          <w:trHeight w:val="1734"/>
        </w:trPr>
        <w:tc>
          <w:tcPr>
            <w:tcW w:w="467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06392E" w:rsidRPr="0006392E" w:rsidRDefault="00E4213C" w:rsidP="009A7B92">
            <w:pPr>
              <w:spacing w:line="216" w:lineRule="auto"/>
              <w:rPr>
                <w:rFonts w:cs="B Nazanin"/>
                <w:sz w:val="24"/>
                <w:szCs w:val="24"/>
              </w:rPr>
            </w:pPr>
            <w:r w:rsidRPr="0006392E">
              <w:rPr>
                <w:rFonts w:cs="B Nazanin" w:hint="cs"/>
                <w:sz w:val="24"/>
                <w:szCs w:val="24"/>
                <w:rtl/>
              </w:rPr>
              <w:t>-</w:t>
            </w:r>
            <w:r w:rsidR="0006392E" w:rsidRPr="0006392E">
              <w:rPr>
                <w:rFonts w:cs="B Nazanin" w:hint="cs"/>
                <w:sz w:val="24"/>
                <w:szCs w:val="24"/>
                <w:rtl/>
              </w:rPr>
              <w:t xml:space="preserve">استقرار نظام مديريت </w:t>
            </w:r>
            <w:r w:rsidR="0006392E" w:rsidRPr="0006392E">
              <w:rPr>
                <w:rFonts w:cs="B Nazanin"/>
                <w:sz w:val="24"/>
                <w:szCs w:val="24"/>
              </w:rPr>
              <w:t>HSEE</w:t>
            </w:r>
          </w:p>
          <w:p w:rsidR="00E4213C" w:rsidRPr="0006392E" w:rsidRDefault="0006392E" w:rsidP="009A7B92">
            <w:pPr>
              <w:spacing w:line="216" w:lineRule="auto"/>
              <w:rPr>
                <w:rFonts w:cs="B Nazanin"/>
                <w:sz w:val="24"/>
                <w:szCs w:val="24"/>
                <w:rtl/>
              </w:rPr>
            </w:pPr>
            <w:r w:rsidRPr="0006392E">
              <w:rPr>
                <w:rFonts w:cs="B Nazanin" w:hint="cs"/>
                <w:sz w:val="24"/>
                <w:szCs w:val="24"/>
                <w:rtl/>
              </w:rPr>
              <w:t>-</w:t>
            </w:r>
            <w:r w:rsidR="00E4213C" w:rsidRPr="0006392E">
              <w:rPr>
                <w:rFonts w:cs="B Nazanin" w:hint="cs"/>
                <w:sz w:val="24"/>
                <w:szCs w:val="24"/>
                <w:rtl/>
              </w:rPr>
              <w:t>تعبيه سيستم هاي اعلام و اطفا حريق و سيستم هاي فاير باكس</w:t>
            </w:r>
          </w:p>
          <w:p w:rsidR="00E4213C" w:rsidRPr="0006392E" w:rsidRDefault="00E4213C" w:rsidP="009A7B92">
            <w:pPr>
              <w:spacing w:line="216" w:lineRule="auto"/>
              <w:rPr>
                <w:rFonts w:cs="B Nazanin"/>
                <w:sz w:val="24"/>
                <w:szCs w:val="24"/>
                <w:rtl/>
              </w:rPr>
            </w:pPr>
            <w:r w:rsidRPr="0006392E">
              <w:rPr>
                <w:rFonts w:cs="B Nazanin" w:hint="cs"/>
                <w:sz w:val="24"/>
                <w:szCs w:val="24"/>
                <w:rtl/>
              </w:rPr>
              <w:t>-</w:t>
            </w:r>
            <w:r w:rsidR="0006392E" w:rsidRPr="0006392E">
              <w:rPr>
                <w:rFonts w:cs="B Nazanin" w:hint="cs"/>
                <w:sz w:val="24"/>
                <w:szCs w:val="24"/>
                <w:rtl/>
              </w:rPr>
              <w:t>رعايت اصول انبارداري مواد با قابليت اشتعال بالا</w:t>
            </w:r>
          </w:p>
          <w:p w:rsidR="00E4213C" w:rsidRPr="0006392E" w:rsidRDefault="00E4213C" w:rsidP="009A7B92">
            <w:pPr>
              <w:spacing w:line="216" w:lineRule="auto"/>
              <w:rPr>
                <w:rFonts w:cs="B Nazanin"/>
                <w:sz w:val="24"/>
                <w:szCs w:val="24"/>
                <w:rtl/>
              </w:rPr>
            </w:pPr>
            <w:r w:rsidRPr="0006392E">
              <w:rPr>
                <w:rFonts w:cs="B Nazanin" w:hint="cs"/>
                <w:sz w:val="24"/>
                <w:szCs w:val="24"/>
                <w:rtl/>
              </w:rPr>
              <w:t xml:space="preserve">-استقرار كميته </w:t>
            </w:r>
            <w:r w:rsidRPr="0006392E">
              <w:rPr>
                <w:rFonts w:cs="B Nazanin"/>
                <w:sz w:val="24"/>
                <w:szCs w:val="24"/>
              </w:rPr>
              <w:t>HSEE</w:t>
            </w:r>
            <w:r w:rsidRPr="0006392E">
              <w:rPr>
                <w:rFonts w:cs="B Nazanin" w:hint="cs"/>
                <w:sz w:val="24"/>
                <w:szCs w:val="24"/>
                <w:rtl/>
              </w:rPr>
              <w:t xml:space="preserve"> در واحد صنعتي</w:t>
            </w:r>
          </w:p>
          <w:p w:rsidR="00E4213C" w:rsidRPr="0006392E" w:rsidRDefault="00E4213C" w:rsidP="009A7B92">
            <w:pPr>
              <w:spacing w:line="216" w:lineRule="auto"/>
              <w:rPr>
                <w:rFonts w:cs="B Nazanin"/>
                <w:sz w:val="24"/>
                <w:szCs w:val="24"/>
                <w:rtl/>
              </w:rPr>
            </w:pPr>
            <w:r w:rsidRPr="0006392E">
              <w:rPr>
                <w:rFonts w:cs="B Nazanin" w:hint="cs"/>
                <w:sz w:val="24"/>
                <w:szCs w:val="24"/>
                <w:rtl/>
              </w:rPr>
              <w:t xml:space="preserve">-بازديد دوره اي از سيستم </w:t>
            </w:r>
            <w:r w:rsidR="0006392E" w:rsidRPr="0006392E">
              <w:rPr>
                <w:rFonts w:cs="B Nazanin" w:hint="cs"/>
                <w:sz w:val="24"/>
                <w:szCs w:val="24"/>
                <w:rtl/>
              </w:rPr>
              <w:t>الكتريكي</w:t>
            </w:r>
            <w:r w:rsidRPr="0006392E">
              <w:rPr>
                <w:rFonts w:cs="B Nazanin" w:hint="cs"/>
                <w:sz w:val="24"/>
                <w:szCs w:val="24"/>
                <w:rtl/>
              </w:rPr>
              <w:t xml:space="preserve"> و به روز رساني آن </w:t>
            </w:r>
          </w:p>
          <w:p w:rsidR="003A2B09" w:rsidRPr="0006392E" w:rsidRDefault="003A2B09" w:rsidP="009A7B92">
            <w:pPr>
              <w:spacing w:line="216" w:lineRule="auto"/>
              <w:rPr>
                <w:rFonts w:cs="B Nazanin"/>
                <w:sz w:val="24"/>
                <w:szCs w:val="24"/>
              </w:rPr>
            </w:pPr>
            <w:r w:rsidRPr="0006392E">
              <w:rPr>
                <w:rFonts w:cs="B Nazanin" w:hint="cs"/>
                <w:sz w:val="24"/>
                <w:szCs w:val="24"/>
                <w:rtl/>
              </w:rPr>
              <w:t>-تدوين برنامه واكنش در شرايط اضطراري و انجام مانور هاي دوره اي</w:t>
            </w:r>
          </w:p>
          <w:p w:rsidR="00320C8A" w:rsidRPr="0006392E" w:rsidRDefault="0006392E" w:rsidP="009A7B92">
            <w:pPr>
              <w:spacing w:line="216" w:lineRule="auto"/>
              <w:rPr>
                <w:rFonts w:cs="B Nazanin"/>
                <w:sz w:val="24"/>
                <w:szCs w:val="24"/>
                <w:rtl/>
              </w:rPr>
            </w:pPr>
            <w:r w:rsidRPr="0006392E">
              <w:rPr>
                <w:rFonts w:cs="B Nazanin" w:hint="cs"/>
                <w:sz w:val="24"/>
                <w:szCs w:val="24"/>
                <w:rtl/>
              </w:rPr>
              <w:t>-تجهيز سيستم الكتريكي به فيوز و رله هاي ديجيتال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320C8A" w:rsidRDefault="00320C8A" w:rsidP="000B7403">
            <w:pPr>
              <w:jc w:val="both"/>
              <w:rPr>
                <w:rFonts w:cs="B Titr"/>
                <w:sz w:val="24"/>
                <w:szCs w:val="24"/>
                <w:rtl/>
              </w:rPr>
            </w:pPr>
          </w:p>
          <w:p w:rsidR="0006392E" w:rsidRDefault="00320C8A" w:rsidP="0006392E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رعايت اصول آيين نامه </w:t>
            </w:r>
            <w:r w:rsidR="0006392E">
              <w:rPr>
                <w:rFonts w:cs="B Titr" w:hint="cs"/>
                <w:sz w:val="24"/>
                <w:szCs w:val="24"/>
                <w:rtl/>
              </w:rPr>
              <w:t>هاي وزارت كار،</w:t>
            </w:r>
            <w:r w:rsidR="00C00CDB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06392E">
              <w:rPr>
                <w:rFonts w:cs="B Titr" w:hint="cs"/>
                <w:sz w:val="24"/>
                <w:szCs w:val="24"/>
                <w:rtl/>
              </w:rPr>
              <w:t>‌تعاون و رفاه اجتماعي از جمله:</w:t>
            </w:r>
          </w:p>
          <w:p w:rsidR="00320C8A" w:rsidRDefault="0006392E" w:rsidP="0006392E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 حفاظت تأسيسات الكتريكي در كارگاه</w:t>
            </w:r>
          </w:p>
          <w:p w:rsidR="0006392E" w:rsidRDefault="0006392E" w:rsidP="0006392E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-پيشگيري و مبارزه با آتش سوزي در كارگاه ها </w:t>
            </w:r>
          </w:p>
          <w:p w:rsidR="0006392E" w:rsidRPr="009B14C6" w:rsidRDefault="0006392E" w:rsidP="0006392E">
            <w:pPr>
              <w:jc w:val="both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-آيين نامه حفاظتي مواد قابل اشتعال و انفجار</w:t>
            </w:r>
          </w:p>
          <w:p w:rsidR="00320C8A" w:rsidRPr="00C87136" w:rsidRDefault="00320C8A" w:rsidP="000B7403">
            <w:pPr>
              <w:jc w:val="both"/>
              <w:rPr>
                <w:rFonts w:cs="B Titr"/>
                <w:sz w:val="16"/>
                <w:szCs w:val="16"/>
                <w:rtl/>
              </w:rPr>
            </w:pPr>
          </w:p>
        </w:tc>
      </w:tr>
      <w:tr w:rsidR="009A7B92" w:rsidTr="00E877EF">
        <w:trPr>
          <w:cantSplit/>
          <w:trHeight w:val="405"/>
        </w:trPr>
        <w:tc>
          <w:tcPr>
            <w:tcW w:w="1091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A7B92" w:rsidRPr="00423227" w:rsidRDefault="009A7B92" w:rsidP="0042322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rtl/>
              </w:rPr>
              <w:t xml:space="preserve">تهیه و تدوین : دفتر </w:t>
            </w:r>
            <w:r w:rsidRPr="008E74E8">
              <w:rPr>
                <w:rFonts w:asciiTheme="majorBidi" w:hAnsiTheme="majorBidi" w:cstheme="majorBidi"/>
              </w:rPr>
              <w:t>HSEE</w:t>
            </w:r>
            <w:r>
              <w:rPr>
                <w:rFonts w:cs="B Titr" w:hint="cs"/>
                <w:rtl/>
              </w:rPr>
              <w:t xml:space="preserve"> شركت شهركهاي صنعتي استان تهران</w:t>
            </w:r>
          </w:p>
        </w:tc>
      </w:tr>
    </w:tbl>
    <w:p w:rsidR="00276568" w:rsidRPr="00320C8A" w:rsidRDefault="00276568" w:rsidP="00320C8A">
      <w:pPr>
        <w:tabs>
          <w:tab w:val="left" w:pos="8220"/>
        </w:tabs>
      </w:pPr>
    </w:p>
    <w:sectPr w:rsidR="00276568" w:rsidRPr="00320C8A" w:rsidSect="0006392E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1F3F"/>
    <w:multiLevelType w:val="hybridMultilevel"/>
    <w:tmpl w:val="18B2E528"/>
    <w:lvl w:ilvl="0" w:tplc="AEC44B0E">
      <w:numFmt w:val="bullet"/>
      <w:lvlText w:val="-"/>
      <w:lvlJc w:val="left"/>
      <w:pPr>
        <w:ind w:left="53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>
    <w:nsid w:val="2D2C370B"/>
    <w:multiLevelType w:val="hybridMultilevel"/>
    <w:tmpl w:val="FB0237F6"/>
    <w:lvl w:ilvl="0" w:tplc="4824EF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0C8A"/>
    <w:rsid w:val="0006392E"/>
    <w:rsid w:val="00131264"/>
    <w:rsid w:val="00182E0B"/>
    <w:rsid w:val="00275982"/>
    <w:rsid w:val="00276568"/>
    <w:rsid w:val="00320C8A"/>
    <w:rsid w:val="00353A7E"/>
    <w:rsid w:val="00374FDA"/>
    <w:rsid w:val="003A2B09"/>
    <w:rsid w:val="00423227"/>
    <w:rsid w:val="00445B84"/>
    <w:rsid w:val="00456C9B"/>
    <w:rsid w:val="0048695F"/>
    <w:rsid w:val="00496BF7"/>
    <w:rsid w:val="0058408A"/>
    <w:rsid w:val="005D218A"/>
    <w:rsid w:val="005E2F2E"/>
    <w:rsid w:val="00652604"/>
    <w:rsid w:val="006556C4"/>
    <w:rsid w:val="00746D1E"/>
    <w:rsid w:val="00776EF9"/>
    <w:rsid w:val="007A257A"/>
    <w:rsid w:val="007E42C1"/>
    <w:rsid w:val="00860DCB"/>
    <w:rsid w:val="00875081"/>
    <w:rsid w:val="00876D34"/>
    <w:rsid w:val="00881FB3"/>
    <w:rsid w:val="008A7F3D"/>
    <w:rsid w:val="008B66C4"/>
    <w:rsid w:val="008C7046"/>
    <w:rsid w:val="008E3723"/>
    <w:rsid w:val="008F3CCE"/>
    <w:rsid w:val="009A7B92"/>
    <w:rsid w:val="009F041C"/>
    <w:rsid w:val="00AB46FE"/>
    <w:rsid w:val="00AE2577"/>
    <w:rsid w:val="00AE667E"/>
    <w:rsid w:val="00AF046E"/>
    <w:rsid w:val="00AF1572"/>
    <w:rsid w:val="00AF7604"/>
    <w:rsid w:val="00B70429"/>
    <w:rsid w:val="00C00CDB"/>
    <w:rsid w:val="00C620D2"/>
    <w:rsid w:val="00D05EF4"/>
    <w:rsid w:val="00D274D0"/>
    <w:rsid w:val="00DD455E"/>
    <w:rsid w:val="00E37BCE"/>
    <w:rsid w:val="00E4213C"/>
    <w:rsid w:val="00E424BA"/>
    <w:rsid w:val="00EF539A"/>
    <w:rsid w:val="00F22A86"/>
    <w:rsid w:val="00F7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8A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fa-IR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6D34"/>
    <w:pPr>
      <w:spacing w:after="10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6D34"/>
    <w:pPr>
      <w:spacing w:after="100"/>
      <w:ind w:left="22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76D34"/>
    <w:pPr>
      <w:spacing w:after="100"/>
      <w:ind w:left="44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876D34"/>
    <w:pPr>
      <w:bidi/>
      <w:spacing w:after="0" w:line="240" w:lineRule="auto"/>
      <w:jc w:val="lowKashida"/>
    </w:pPr>
    <w:rPr>
      <w:rFonts w:ascii="IranNastaliq" w:hAnsi="IranNastaliq" w:cs="B Koodak"/>
      <w:sz w:val="24"/>
      <w:szCs w:val="24"/>
      <w:lang w:bidi="fa-IR"/>
    </w:rPr>
  </w:style>
  <w:style w:type="character" w:customStyle="1" w:styleId="NoSpacingChar">
    <w:name w:val="No Spacing Char"/>
    <w:basedOn w:val="DefaultParagraphFont"/>
    <w:link w:val="NoSpacing"/>
    <w:uiPriority w:val="1"/>
    <w:rsid w:val="00876D34"/>
    <w:rPr>
      <w:rFonts w:ascii="IranNastaliq" w:hAnsi="IranNastaliq" w:cs="B Koodak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445B8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6D34"/>
    <w:pPr>
      <w:outlineLvl w:val="9"/>
    </w:pPr>
  </w:style>
  <w:style w:type="table" w:styleId="TableGrid">
    <w:name w:val="Table Grid"/>
    <w:basedOn w:val="TableNormal"/>
    <w:uiPriority w:val="59"/>
    <w:rsid w:val="00320C8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0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8A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Karimian</dc:creator>
  <cp:lastModifiedBy>user</cp:lastModifiedBy>
  <cp:revision>3</cp:revision>
  <dcterms:created xsi:type="dcterms:W3CDTF">2016-10-16T05:35:00Z</dcterms:created>
  <dcterms:modified xsi:type="dcterms:W3CDTF">2016-10-16T12:18:00Z</dcterms:modified>
</cp:coreProperties>
</file>